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20"/>
      </w:pPr>
      <w:r>
        <w:t xml:space="preserve"/>
      </w:r>
    </w:p>
    <w:p>
      <w:pPr>
        <w:pBdr>
          <w:bottom w:val="single" w:color="2D5016" w:sz="6" w:space="1"/>
        </w:pBdr>
        <w:spacing w:after="240"/>
      </w:pPr>
      <w:r>
        <w:t xml:space="preserve"/>
      </w:r>
    </w:p>
    <w:p>
      <w:pPr>
        <w:spacing w:after="60"/>
        <w:jc w:val="center"/>
      </w:pPr>
      <w:r>
        <w:rPr>
          <w:rFonts w:ascii="Arial" w:cs="Arial" w:eastAsia="Arial" w:hAnsi="Arial"/>
          <w:b/>
          <w:bCs/>
          <w:color w:val="2D5016"/>
          <w:sz w:val="32"/>
          <w:szCs w:val="32"/>
        </w:rPr>
        <w:t xml:space="preserve">THE FOUNDING COVENANT</w:t>
      </w:r>
    </w:p>
    <w:p>
      <w:pPr>
        <w:spacing w:after="120"/>
        <w:jc w:val="center"/>
      </w:pPr>
      <w:r>
        <w:rPr>
          <w:rFonts w:ascii="Arial" w:cs="Arial" w:eastAsia="Arial" w:hAnsi="Arial"/>
          <w:b/>
          <w:bCs/>
          <w:color w:val="2D5016"/>
          <w:sz w:val="32"/>
          <w:szCs w:val="32"/>
        </w:rPr>
        <w:t xml:space="preserve">OF SOVEREIGN MISFIT FARM</w:t>
      </w:r>
    </w:p>
    <w:p>
      <w:pPr>
        <w:spacing w:after="120"/>
        <w:jc w:val="center"/>
      </w:pPr>
      <w:r>
        <w:rPr>
          <w:color w:val="333333"/>
          <w:sz w:val="22"/>
          <w:szCs w:val="22"/>
        </w:rPr>
        <w:t xml:space="preserve">Signed by the First Council of Twelve</w:t>
      </w:r>
    </w:p>
    <w:p>
      <w:pPr>
        <w:spacing w:after="240" w:before="120"/>
        <w:ind w:left="720" w:right="720"/>
        <w:jc w:val="center"/>
      </w:pPr>
      <w:r>
        <w:rPr>
          <w:color w:val="2D5016"/>
          <w:sz w:val="22"/>
          <w:szCs w:val="22"/>
        </w:rPr>
        <w:t xml:space="preserve">"Be who you are — so long as it doesn't harm yourself, others, the community, or the land."</w:t>
      </w:r>
    </w:p>
    <w:p>
      <w:pPr>
        <w:pBdr>
          <w:bottom w:val="single" w:color="2D5016" w:sz="6" w:space="1"/>
        </w:pBdr>
        <w:spacing w:after="240"/>
      </w:pPr>
      <w:r>
        <w:t xml:space="preserve"/>
      </w:r>
    </w:p>
    <w:p>
      <w:pPr>
        <w:pStyle w:val="Heading1"/>
      </w:pPr>
      <w:r>
        <w:t xml:space="preserve">Preamble</w:t>
      </w:r>
    </w:p>
    <w:p>
      <w:pPr>
        <w:spacing w:after="160"/>
      </w:pPr>
      <w:r>
        <w:t xml:space="preserve">We, the undersigned, constitute the First Council of Twelve of Sovereign Misfit Farm. On this day, we enter into covenant with one another and with the land we will steward.</w:t>
      </w:r>
    </w:p>
    <w:p>
      <w:pPr>
        <w:spacing w:after="160"/>
      </w:pPr>
      <w:r>
        <w:t xml:space="preserve">This document is our binding agreement — not merely legal, but moral, communal, and personal. By signing below, each of us declares: I am here by choice. I will stay by commitment. I will leave, if I must, with integrity.</w:t>
      </w:r>
    </w:p>
    <w:p>
      <w:pPr>
        <w:spacing w:after="240"/>
      </w:pPr>
      <w:r>
        <w:t xml:space="preserve">We build on what the ancestors already knew: that land is not a commodity, that labor is mutual, that governance is local, and that the calendar is set by the earth — not by institutions.</w:t>
      </w:r>
    </w:p>
    <w:p>
      <w:pPr>
        <w:pStyle w:val="Heading1"/>
      </w:pPr>
      <w:r>
        <w:t xml:space="preserve">Article I — Our Purpose</w:t>
      </w:r>
    </w:p>
    <w:p>
      <w:pPr>
        <w:spacing w:after="160"/>
      </w:pPr>
      <w:r>
        <w:t xml:space="preserve">Sovereign Misfit Farm exists to hold land in perpetual community trust, to grow food that nourishes our neighbors, to build a model of sovereign community that can be replicated, and to prove that another way of living is possible.</w:t>
      </w:r>
    </w:p>
    <w:p>
      <w:pPr>
        <w:spacing w:after="160"/>
      </w:pPr>
      <w:r>
        <w:t xml:space="preserve">We are not building for profit. We are building for legacy.</w:t>
      </w:r>
    </w:p>
    <w:p>
      <w:pPr>
        <w:spacing w:after="240"/>
      </w:pPr>
      <w:r>
        <w:t xml:space="preserve">We are not building an escape. We are building a proof of concept.</w:t>
      </w:r>
    </w:p>
    <w:p>
      <w:pPr>
        <w:pStyle w:val="Heading1"/>
      </w:pPr>
      <w:r>
        <w:t xml:space="preserve">Article II — The Sovereignty Ethic</w:t>
      </w:r>
    </w:p>
    <w:p>
      <w:pPr>
        <w:spacing w:after="160"/>
      </w:pPr>
      <w:r>
        <w:t xml:space="preserve">The governing principle of this community is sovereign respect: Be who you are — so long as it doesn't harm yourself, others, the community, or the land.</w:t>
      </w:r>
    </w:p>
    <w:p>
      <w:pPr>
        <w:spacing w:after="240"/>
      </w:pPr>
      <w:r>
        <w:t xml:space="preserve">This principle governs all matters of personal conduct, dietary choice, spiritual practice, lifestyle, and expression. No member shall be required to conform to any ideology, religion, diet, or lifestyle beyond the commitments made in this Covenant.</w:t>
      </w:r>
    </w:p>
    <w:p>
      <w:pPr>
        <w:pStyle w:val="Heading1"/>
      </w:pPr>
      <w:r>
        <w:t xml:space="preserve">Article III — The Council</w:t>
      </w:r>
    </w:p>
    <w:p>
      <w:pPr>
        <w:pStyle w:val="Heading2"/>
      </w:pPr>
      <w:r>
        <w:t xml:space="preserve">Section 1: Composition</w:t>
      </w:r>
    </w:p>
    <w:p>
      <w:pPr>
        <w:spacing w:after="240"/>
      </w:pPr>
      <w:r>
        <w:t>The Council of Twelve is the governing body. Each seat is held by a household — whether that household is a single person, a couple, or a family. All twelve households hold equal voice, equal vote, and equal stake.</w:t>
      </w:r>
    </w:p>
    <w:p>
      <w:pPr>
        <w:pStyle w:val="Heading2"/>
      </w:pPr>
      <w:r>
        <w:t xml:space="preserve">Section 2: Decision-Making Levels</w:t>
      </w:r>
    </w:p>
    <w:p>
      <w:pPr>
        <w:spacing w:after="80"/>
      </w:pPr>
      <w:r>
        <w:t xml:space="preserve">(a) </w:t>
      </w:r>
      <w:r>
        <w:rPr>
          <w:b/>
          <w:bCs/>
        </w:rPr>
        <w:t xml:space="preserve">Unanimous consent (12 of 12): </w:t>
      </w:r>
      <w:r>
        <w:t xml:space="preserve">Required for amendments to this Covenant, disposition of land, and admission or removal of members.</w:t>
      </w:r>
    </w:p>
    <w:p>
      <w:pPr>
        <w:spacing w:after="80"/>
      </w:pPr>
      <w:r>
        <w:t xml:space="preserve">(b) </w:t>
      </w:r>
      <w:r>
        <w:rPr>
          <w:b/>
          <w:bCs/>
        </w:rPr>
        <w:t xml:space="preserve">Supermajority (9 of 12): </w:t>
      </w:r>
      <w:r>
        <w:t xml:space="preserve">Required for annual budget, major infrastructure, policy changes, and addition of new livestock species.</w:t>
      </w:r>
    </w:p>
    <w:p>
      <w:pPr>
        <w:spacing w:after="80"/>
      </w:pPr>
      <w:r>
        <w:t xml:space="preserve">(c) </w:t>
      </w:r>
      <w:r>
        <w:rPr>
          <w:b/>
          <w:bCs/>
        </w:rPr>
        <w:t xml:space="preserve">Simple majority (7 of 12): </w:t>
      </w:r>
      <w:r>
        <w:t xml:space="preserve">Sufficient for day-to-day operations, scheduling, and minor expenditures.</w:t>
      </w:r>
    </w:p>
    <w:p>
      <w:pPr>
        <w:spacing w:after="240"/>
      </w:pPr>
      <w:r>
        <w:t xml:space="preserve">(d) </w:t>
      </w:r>
      <w:r>
        <w:rPr>
          <w:b/>
          <w:bCs/>
        </w:rPr>
        <w:t xml:space="preserve">Working groups (3+ members): </w:t>
      </w:r>
      <w:r>
        <w:t xml:space="preserve">Authorized to act independently within their defined scope, reporting to Council.</w:t>
      </w:r>
    </w:p>
    <w:p>
      <w:pPr>
        <w:pStyle w:val="Heading2"/>
      </w:pPr>
      <w:r>
        <w:t xml:space="preserve">Section 3: Authority</w:t>
      </w:r>
    </w:p>
    <w:p>
      <w:pPr>
        <w:spacing w:after="240"/>
      </w:pPr>
      <w:r>
        <w:t xml:space="preserve">No single member, nor any subset of members, shall hold unilateral authority over the land, the operations, or the mission of Sovereign Misfit Farm.</w:t>
      </w:r>
    </w:p>
    <w:p>
      <w:pPr>
        <w:pStyle w:val="Heading2"/>
      </w:pPr>
      <w:r>
        <w:t xml:space="preserve">Section 4: Succession</w:t>
      </w:r>
    </w:p>
    <w:p>
      <w:pPr>
        <w:spacing w:after="240"/>
      </w:pPr>
      <w:r>
        <w:t xml:space="preserve">Council seats are held by households, not transferable, and not inheritable. A vacated seat shall be filled by unanimous consent of remaining households. Children born to or adopted by member households are welcomed into the community and belong to it fully — but no seat is inherited. Any future applicant, whether raised on this land or arriving from elsewhere, earns their place by the same process and the same standard.</w:t>
      </w:r>
    </w:p>
    <w:p>
      <w:pPr>
        <w:pStyle w:val="Heading1"/>
      </w:pPr>
      <w:r>
        <w:t xml:space="preserve">Article IV — Seasonal Governance</w:t>
      </w:r>
    </w:p>
    <w:p>
      <w:pPr>
        <w:spacing w:after="160"/>
      </w:pPr>
      <w:r>
        <w:t xml:space="preserve">The Council shall gather in formal session four times per year, aligned with the agricultural calendar:</w:t>
      </w:r>
    </w:p>
    <w:p>
      <w:pPr>
        <w:spacing w:after="80"/>
      </w:pPr>
      <w:r>
        <w:rPr>
          <w:b/>
          <w:bCs/>
        </w:rPr>
        <w:t xml:space="preserve">Section 1: SPRING COUNCIL (March) </w:t>
      </w:r>
      <w:r>
        <w:t xml:space="preserve">— The planning session. Crop plan, work assignments, budget approval, new member applications reviewed.</w:t>
      </w:r>
    </w:p>
    <w:p>
      <w:pPr>
        <w:spacing w:after="80"/>
      </w:pPr>
      <w:r>
        <w:rPr>
          <w:b/>
          <w:bCs/>
        </w:rPr>
        <w:t xml:space="preserve">Section 2: SUMMER COUNCIL (June) </w:t>
      </w:r>
      <w:r>
        <w:t xml:space="preserve">— Mid-season review. Progress check, adjustments, celebration of the growing season.</w:t>
      </w:r>
    </w:p>
    <w:p>
      <w:pPr>
        <w:spacing w:after="80"/>
      </w:pPr>
      <w:r>
        <w:rPr>
          <w:b/>
          <w:bCs/>
        </w:rPr>
        <w:t xml:space="preserve">Section 3: HARVEST COUNCIL (September) </w:t>
      </w:r>
      <w:r>
        <w:t xml:space="preserve">— The accounting. Production review, CSA assessment, preservation plan, financial review.</w:t>
      </w:r>
    </w:p>
    <w:p>
      <w:pPr>
        <w:spacing w:after="80"/>
      </w:pPr>
      <w:r>
        <w:rPr>
          <w:b/>
          <w:bCs/>
        </w:rPr>
        <w:t xml:space="preserve">Section 4: WINTER COUNCIL (December) </w:t>
      </w:r>
      <w:r>
        <w:t xml:space="preserve">— Reflection and renewal. State of the community, grievances heard, vision setting, covenant reaffirmation.</w:t>
      </w:r>
    </w:p>
    <w:p>
      <w:r>
        <w:t>Section 5: Farm Operator Equity — Households serving as primary farm operators (Farm Manager, CSA Coordinator) contribute 30–40 hours per week of agricultural labor. In recognition of this commitment: (a) Farm operators retain all farm revenue (CSA subscriptions, market sales, agritourism, value-added products) as their primary household income. (b) Farm operators pay reduced or waived ground lease fees, as determined by Council vote. (c) The CLT's capital budget funds shared farm infrastructure (irrigation, fencing, barns, cold storage, equipment), reducing operators' startup burden. (d) Farm operators receive priority access to shared equipment and community labor hours during planting and harvest seasons. This structure ensures that farm operators are not economically disadvantaged relative to independently-earning households, without requiring income pooling across the community.</w:t>
      </w:r>
    </w:p>
    <w:p>
      <w:pPr>
        <w:spacing w:after="240"/>
      </w:pPr>
      <w:r>
        <w:rPr>
          <w:b/>
          <w:bCs/>
        </w:rPr>
        <w:t xml:space="preserve">Section 5: </w:t>
      </w:r>
      <w:r>
        <w:t xml:space="preserve">Monthly talking circles shall be held between seasonal councils for ongoing business. Any household may call an emergency session with the support of two other households.</w:t>
      </w:r>
    </w:p>
    <w:p>
      <w:pPr>
        <w:pStyle w:val="Heading1"/>
      </w:pPr>
      <w:r>
        <w:t xml:space="preserve">Article V — The Land</w:t>
      </w:r>
    </w:p>
    <w:p>
      <w:pPr>
        <w:spacing w:after="80"/>
      </w:pPr>
      <w:r>
        <w:rPr>
          <w:b/>
          <w:bCs/>
        </w:rPr>
        <w:t xml:space="preserve">Section 1: </w:t>
      </w:r>
      <w:r>
        <w:t xml:space="preserve">The land acquired by or for Sovereign Misfit Farm shall be held in community trust in perpetuity. No individual member shall hold private title to any portion of the land.</w:t>
      </w:r>
    </w:p>
    <w:p>
      <w:pPr>
        <w:spacing w:after="80"/>
      </w:pPr>
      <w:r>
        <w:rPr>
          <w:b/>
          <w:bCs/>
        </w:rPr>
        <w:t xml:space="preserve">Section 2: </w:t>
      </w:r>
      <w:r>
        <w:t xml:space="preserve">Households shall hold rights of use through ground leases, which separate the ownership of land (held by the trust) from the ownership of improvements (held by the household).</w:t>
      </w:r>
    </w:p>
    <w:p>
      <w:pPr>
        <w:spacing w:after="80"/>
      </w:pPr>
      <w:r>
        <w:rPr>
          <w:b/>
          <w:bCs/>
        </w:rPr>
        <w:t xml:space="preserve">Section 3: </w:t>
      </w:r>
      <w:r>
        <w:t xml:space="preserve">A per-capita resource adjustment shall apply to cover variable costs such as water, waste, and shared utilities, ensuring equitable contribution without penalizing families for their size.</w:t>
      </w:r>
    </w:p>
    <w:p>
      <w:pPr>
        <w:spacing w:after="80"/>
      </w:pPr>
      <w:r>
        <w:rPr>
          <w:b/>
          <w:bCs/>
        </w:rPr>
        <w:t xml:space="preserve">Section 4: </w:t>
      </w:r>
      <w:r>
        <w:t xml:space="preserve">The land shall not be sold, subdivided, or encumbered without the unanimous consent of the full Council.</w:t>
      </w:r>
    </w:p>
    <w:p>
      <w:pPr>
        <w:spacing w:after="240"/>
      </w:pPr>
      <w:r>
        <w:rPr>
          <w:b/>
          <w:bCs/>
        </w:rPr>
        <w:t xml:space="preserve">Section 5: </w:t>
      </w:r>
      <w:r>
        <w:t xml:space="preserve">We acknowledge that we are stewards, not owners, of this land. Our covenant with the land is older than our covenant with each other: leave it healthier than we found it. Regenerative practices are not optional — they are obligations.</w:t>
      </w:r>
    </w:p>
    <w:p>
      <w:pPr>
        <w:pStyle w:val="Heading1"/>
      </w:pPr>
      <w:r>
        <w:t xml:space="preserve">Article VI — Member Commitments</w:t>
      </w:r>
    </w:p>
    <w:p>
      <w:pPr>
        <w:spacing w:after="160"/>
      </w:pPr>
      <w:r>
        <w:t xml:space="preserve">Each household of the Council commits to the following:</w:t>
      </w:r>
    </w:p>
    <w:p>
      <w:pPr>
        <w:spacing w:after="80"/>
      </w:pPr>
      <w:r>
        <w:rPr>
          <w:b/>
          <w:bCs/>
        </w:rPr>
        <w:t xml:space="preserve">Section 1: Capital Contribution </w:t>
      </w:r>
      <w:r>
        <w:t xml:space="preserve">— An equal capital contribution as outlined in the financial model. Every household carries the same weight — equal stake, equal commitment.</w:t>
      </w:r>
    </w:p>
    <w:p>
      <w:pPr>
        <w:spacing w:after="80"/>
      </w:pPr>
      <w:r>
        <w:rPr>
          <w:b/>
          <w:bCs/>
        </w:rPr>
        <w:t xml:space="preserve">Section 2: Monthly Dues </w:t>
      </w:r>
      <w:r>
        <w:t xml:space="preserve">— As set by the Council, to fund ongoing operations.</w:t>
      </w:r>
    </w:p>
    <w:p>
      <w:pPr>
        <w:spacing w:after="80"/>
      </w:pPr>
      <w:r>
        <w:rPr>
          <w:b/>
          <w:bCs/>
        </w:rPr>
        <w:t xml:space="preserve">Section 3: Sweat Equity </w:t>
      </w:r>
      <w:r>
        <w:t xml:space="preserve">— A minimum number of hours per month of labor contributed to the farm and community, as determined by the Council. Like Habitat for Humanity: you build your neighbor's house, they build yours. Sweat equity is not optional. It is structural.</w:t>
      </w:r>
    </w:p>
    <w:p>
      <w:pPr>
        <w:spacing w:after="80"/>
      </w:pPr>
      <w:r>
        <w:rPr>
          <w:b/>
          <w:bCs/>
        </w:rPr>
        <w:t xml:space="preserve">Section 4: Governance Participation </w:t>
      </w:r>
      <w:r>
        <w:t xml:space="preserve">— Active participation in all seasonal Council sessions and monthly talking circles. Absence from two consecutive sessions without cause may be addressed through the conflict resolution process.</w:t>
      </w:r>
    </w:p>
    <w:p>
      <w:pPr>
        <w:spacing w:after="80"/>
      </w:pPr>
      <w:r>
        <w:rPr>
          <w:b/>
          <w:bCs/>
        </w:rPr>
        <w:t xml:space="preserve">Section 5: Good Faith </w:t>
      </w:r>
      <w:r>
        <w:t xml:space="preserve">— To approach all disagreements with honesty, respect, and a commitment to resolution. To never triangulate — if you have a problem with someone, speak to them first.</w:t>
      </w:r>
    </w:p>
    <w:p>
      <w:pPr>
        <w:spacing w:after="240"/>
      </w:pPr>
      <w:r>
        <w:rPr>
          <w:b/>
          <w:bCs/>
        </w:rPr>
        <w:t xml:space="preserve">Section 6: The Mission </w:t>
      </w:r>
      <w:r>
        <w:t xml:space="preserve">— To uphold the purpose of Sovereign Misfit Farm as stated in Article I, and to never act in a way that prioritizes personal gain over community wellbeing.</w:t>
      </w:r>
    </w:p>
    <w:p>
      <w:pPr>
        <w:pStyle w:val="Heading1"/>
      </w:pPr>
      <w:r>
        <w:t xml:space="preserve">Article VII — Conflict Resolution: The Circle</w:t>
      </w:r>
    </w:p>
    <w:p>
      <w:pPr>
        <w:spacing w:after="160"/>
      </w:pPr>
      <w:r>
        <w:rPr>
          <w:b/>
          <w:bCs/>
        </w:rPr>
        <w:t xml:space="preserve">Section 1: </w:t>
      </w:r>
      <w:r>
        <w:t xml:space="preserve">Conflict is natural and expected. It is not punished. What is not acceptable is refusing to address it.</w:t>
      </w:r>
    </w:p>
    <w:p>
      <w:pPr>
        <w:pStyle w:val="Heading2"/>
      </w:pPr>
      <w:r>
        <w:t xml:space="preserve">Section 2: Resolution Process</w:t>
      </w:r>
    </w:p>
    <w:p>
      <w:pPr>
        <w:spacing w:after="80"/>
      </w:pPr>
      <w:r>
        <w:t xml:space="preserve">(a) </w:t>
      </w:r>
      <w:r>
        <w:rPr>
          <w:b/>
          <w:bCs/>
        </w:rPr>
        <w:t xml:space="preserve">DIRECT CONVERSATION </w:t>
      </w:r>
      <w:r>
        <w:t xml:space="preserve">— The parties speak face-to-face within seven days. No triangulating.</w:t>
      </w:r>
    </w:p>
    <w:p>
      <w:pPr>
        <w:spacing w:after="80"/>
      </w:pPr>
      <w:r>
        <w:t xml:space="preserve">(b) </w:t>
      </w:r>
      <w:r>
        <w:rPr>
          <w:b/>
          <w:bCs/>
        </w:rPr>
        <w:t xml:space="preserve">TALKING CIRCLE </w:t>
      </w:r>
      <w:r>
        <w:t xml:space="preserve">— If unresolved, either party may call a talking circle. A neutral community member facilitates. Both sides speak uninterrupted. The circle witnesses, asks questions, and offers perspective. No vote.</w:t>
      </w:r>
    </w:p>
    <w:p>
      <w:pPr>
        <w:spacing w:after="80"/>
      </w:pPr>
      <w:r>
        <w:t xml:space="preserve">(c) </w:t>
      </w:r>
      <w:r>
        <w:rPr>
          <w:b/>
          <w:bCs/>
        </w:rPr>
        <w:t xml:space="preserve">MEDIATION </w:t>
      </w:r>
      <w:r>
        <w:t xml:space="preserve">— If still unresolved, the Council appoints a mediator. Both parties participate in good faith.</w:t>
      </w:r>
    </w:p>
    <w:p>
      <w:pPr>
        <w:spacing w:after="80"/>
      </w:pPr>
      <w:r>
        <w:t xml:space="preserve">(d) </w:t>
      </w:r>
      <w:r>
        <w:rPr>
          <w:b/>
          <w:bCs/>
        </w:rPr>
        <w:t xml:space="preserve">COUNCIL DECISION </w:t>
      </w:r>
      <w:r>
        <w:t xml:space="preserve">— If mediation fails, the full Council hears the matter. Supermajority (9/12) required for binding resolution.</w:t>
      </w:r>
    </w:p>
    <w:p>
      <w:pPr>
        <w:spacing w:after="240"/>
      </w:pPr>
      <w:r>
        <w:t xml:space="preserve">(e) </w:t>
      </w:r>
      <w:r>
        <w:rPr>
          <w:b/>
          <w:bCs/>
        </w:rPr>
        <w:t xml:space="preserve">SEPARATION </w:t>
      </w:r>
      <w:r>
        <w:t xml:space="preserve">— If a member refuses to participate in resolution or repeatedly violates community agreements, the Council may initiate removal proceedings (10 of 12 vote).</w:t>
      </w:r>
    </w:p>
    <w:p>
      <w:pPr>
        <w:spacing w:after="240"/>
      </w:pPr>
      <w:r>
        <w:rPr>
          <w:b/>
          <w:bCs/>
        </w:rPr>
        <w:t xml:space="preserve">Section 3: </w:t>
      </w:r>
      <w:r>
        <w:t xml:space="preserve">No member shall be penalized for raising a grievance or calling a talking circle. The person who names the problem is protecting the community, not threatening it.</w:t>
      </w:r>
    </w:p>
    <w:p>
      <w:pPr>
        <w:pStyle w:val="Heading1"/>
      </w:pPr>
      <w:r>
        <w:t xml:space="preserve">Article VIII — Living Creatures &amp; Dietary Sovereignty</w:t>
      </w:r>
    </w:p>
    <w:p>
      <w:pPr>
        <w:spacing w:after="80"/>
      </w:pPr>
      <w:r>
        <w:rPr>
          <w:b/>
          <w:bCs/>
        </w:rPr>
        <w:t xml:space="preserve">Section 1: </w:t>
      </w:r>
      <w:r>
        <w:t xml:space="preserve">Sovereign Misfit Farm is not a vegan community, not a vegetarian community, and not a meat farm. It is a sovereign community where individuals make their own dietary choices.</w:t>
      </w:r>
    </w:p>
    <w:p>
      <w:pPr>
        <w:spacing w:after="80"/>
      </w:pPr>
      <w:r>
        <w:rPr>
          <w:b/>
          <w:bCs/>
        </w:rPr>
        <w:t xml:space="preserve">Section 2: </w:t>
      </w:r>
      <w:r>
        <w:t xml:space="preserve">Community animals (laying hens, dairy goats, bees, guard dogs, barn cats) are cared for collectively with humane, pasture-based, free-range practices. Animals are named, not numbered. No factory farming practices. Veterinary care is a budgeted community expense.</w:t>
      </w:r>
    </w:p>
    <w:p>
      <w:pPr>
        <w:spacing w:after="80"/>
      </w:pPr>
      <w:r>
        <w:rPr>
          <w:b/>
          <w:bCs/>
        </w:rPr>
        <w:t xml:space="preserve">Section 3: </w:t>
      </w:r>
      <w:r>
        <w:t xml:space="preserve">No household is required to participate in animal husbandry or meat processing. No household is shamed for their dietary choices. The community table always includes plant-based options.</w:t>
      </w:r>
    </w:p>
    <w:p>
      <w:pPr>
        <w:spacing w:after="80"/>
      </w:pPr>
      <w:r>
        <w:rPr>
          <w:b/>
          <w:bCs/>
        </w:rPr>
        <w:t xml:space="preserve">Section 4: </w:t>
      </w:r>
      <w:r>
        <w:t xml:space="preserve">Personal pets are welcome, provided they are vaccinated, fixed (unless breeding is Council-approved), and managed so as not to threaten community animals or wildlife.</w:t>
      </w:r>
    </w:p>
    <w:p>
      <w:pPr>
        <w:spacing w:after="80"/>
      </w:pPr>
      <w:r>
        <w:rPr>
          <w:b/>
          <w:bCs/>
        </w:rPr>
        <w:t xml:space="preserve">Section 5: </w:t>
      </w:r>
      <w:r>
        <w:t xml:space="preserve">Hunting and fishing on community land is permitted for personal consumption, in compliance with state regulations. Commercial hunting is prohibited. The Council may restrict areas or seasons for safety.</w:t>
      </w:r>
    </w:p>
    <w:p>
      <w:pPr>
        <w:spacing w:after="240"/>
      </w:pPr>
      <w:r>
        <w:rPr>
          <w:b/>
          <w:bCs/>
        </w:rPr>
        <w:t xml:space="preserve">Section 6: </w:t>
      </w:r>
      <w:r>
        <w:t xml:space="preserve">Adding new livestock species requires a supermajority Council vote and must include: housing plan, feed budget, labor commitment, veterinary plan, and land impact assessment.</w:t>
      </w:r>
    </w:p>
    <w:p>
      <w:pPr>
        <w:pStyle w:val="Heading1"/>
      </w:pPr>
      <w:r>
        <w:t xml:space="preserve">Article IX — The Exchange Covenant</w:t>
      </w:r>
    </w:p>
    <w:p>
      <w:pPr>
        <w:spacing w:after="80"/>
      </w:pPr>
      <w:r>
        <w:rPr>
          <w:b/>
          <w:bCs/>
        </w:rPr>
        <w:t xml:space="preserve">Section 1: </w:t>
      </w:r>
      <w:r>
        <w:t xml:space="preserve">Every member gives. Every member receives. Contributions may take the form of capital, labor, skill, knowledge, time, or care.</w:t>
      </w:r>
    </w:p>
    <w:p>
      <w:pPr>
        <w:spacing w:after="80"/>
      </w:pPr>
      <w:r>
        <w:rPr>
          <w:b/>
          <w:bCs/>
        </w:rPr>
        <w:t xml:space="preserve">Section 2: </w:t>
      </w:r>
      <w:r>
        <w:t xml:space="preserve">No member's contribution is valued above another's by nature of its form. Financial investment and physical labor and creative contribution and emotional labor are all recognized as essential.</w:t>
      </w:r>
    </w:p>
    <w:p>
      <w:pPr>
        <w:spacing w:after="80"/>
      </w:pPr>
      <w:r>
        <w:rPr>
          <w:b/>
          <w:bCs/>
        </w:rPr>
        <w:t xml:space="preserve">Section 3: </w:t>
      </w:r>
      <w:r>
        <w:t xml:space="preserve">The CSA program is the primary economic engine. All members commit to supporting its success.</w:t>
      </w:r>
    </w:p>
    <w:p>
      <w:pPr>
        <w:spacing w:after="240"/>
      </w:pPr>
      <w:r>
        <w:rPr>
          <w:b/>
          <w:bCs/>
        </w:rPr>
        <w:t xml:space="preserve">Section 4: </w:t>
      </w:r>
      <w:r>
        <w:t xml:space="preserve">Surplus revenue beyond operating costs shall be allocated by Council decision to: (a) reinvestment in the farm, (b) community reserve fund, (c) mutual aid fund, (d) member benefit — in that priority order.</w:t>
      </w:r>
    </w:p>
    <w:p>
      <w:pPr>
        <w:pStyle w:val="Heading1"/>
      </w:pPr>
      <w:r>
        <w:t xml:space="preserve">Article X — Departure &amp; Transition</w:t>
      </w:r>
    </w:p>
    <w:p>
      <w:pPr>
        <w:spacing w:after="80"/>
      </w:pPr>
      <w:r>
        <w:rPr>
          <w:b/>
          <w:bCs/>
        </w:rPr>
        <w:t xml:space="preserve">Section 1: </w:t>
      </w:r>
      <w:r>
        <w:t xml:space="preserve">Any household may depart voluntarily with 90 days written notice.</w:t>
      </w:r>
    </w:p>
    <w:p>
      <w:pPr>
        <w:spacing w:after="80"/>
      </w:pPr>
      <w:r>
        <w:rPr>
          <w:b/>
          <w:bCs/>
        </w:rPr>
        <w:t xml:space="preserve">Section 2: </w:t>
      </w:r>
      <w:r>
        <w:t xml:space="preserve">A departing household shall receive the return of their capital contribution, adjusted by the appreciation cap (not to exceed 2% annually or 25% of appraised appreciation, whichever is less).</w:t>
      </w:r>
    </w:p>
    <w:p>
      <w:pPr>
        <w:spacing w:after="80"/>
      </w:pPr>
      <w:r>
        <w:rPr>
          <w:b/>
          <w:bCs/>
        </w:rPr>
        <w:t xml:space="preserve">Section 3: </w:t>
      </w:r>
      <w:r>
        <w:t xml:space="preserve">Removal requires a vote of ten (10) of twelve (12) remaining households, but only after completion of the conflict resolution process described in Article VII.</w:t>
      </w:r>
    </w:p>
    <w:p>
      <w:pPr>
        <w:spacing w:after="80"/>
      </w:pPr>
      <w:r>
        <w:rPr>
          <w:b/>
          <w:bCs/>
        </w:rPr>
        <w:t xml:space="preserve">Section 4: </w:t>
      </w:r>
      <w:r>
        <w:t xml:space="preserve">The Council shall maintain a reserve fund sufficient to buy out at least one departing household at any time.</w:t>
      </w:r>
    </w:p>
    <w:p>
      <w:pPr>
        <w:spacing w:after="240"/>
      </w:pPr>
      <w:r>
        <w:rPr>
          <w:b/>
          <w:bCs/>
        </w:rPr>
        <w:t xml:space="preserve">Section 5: </w:t>
      </w:r>
      <w:r>
        <w:t xml:space="preserve">Upon departure, a household's ground lease terminates, and they shall have 180 days to remove personal improvements or negotiate sale to the trust or incoming household.</w:t>
      </w:r>
    </w:p>
    <w:p>
      <w:pPr>
        <w:pStyle w:val="Heading1"/>
      </w:pPr>
      <w:r>
        <w:t xml:space="preserve">Article XI — The Network</w:t>
      </w:r>
    </w:p>
    <w:p>
      <w:pPr>
        <w:spacing w:after="80"/>
      </w:pPr>
      <w:r>
        <w:rPr>
          <w:b/>
          <w:bCs/>
        </w:rPr>
        <w:t xml:space="preserve">Section 1: </w:t>
      </w:r>
      <w:r>
        <w:t xml:space="preserve">Sovereign Misfit Farm commits to open-sourcing its model. All founding documents are available to any group seeking to build a similar community.</w:t>
      </w:r>
    </w:p>
    <w:p>
      <w:pPr>
        <w:spacing w:after="80"/>
      </w:pPr>
      <w:r>
        <w:rPr>
          <w:b/>
          <w:bCs/>
        </w:rPr>
        <w:t xml:space="preserve">Section 2: </w:t>
      </w:r>
      <w:r>
        <w:t xml:space="preserve">Network communities share knowledge, seeds, best practices, and solidarity — but not governance. Each council is sovereign.</w:t>
      </w:r>
    </w:p>
    <w:p>
      <w:pPr>
        <w:spacing w:after="240"/>
      </w:pPr>
      <w:r>
        <w:rPr>
          <w:b/>
          <w:bCs/>
        </w:rPr>
        <w:t xml:space="preserve">Section 3: </w:t>
      </w:r>
      <w:r>
        <w:t xml:space="preserve">We do not franchise. We pollinate.</w:t>
      </w:r>
    </w:p>
    <w:p>
      <w:pPr>
        <w:pStyle w:val="Heading1"/>
      </w:pPr>
      <w:r>
        <w:t xml:space="preserve">Article XII — Amendments</w:t>
      </w:r>
    </w:p>
    <w:p>
      <w:pPr>
        <w:spacing w:after="240"/>
      </w:pPr>
      <w:r>
        <w:t xml:space="preserve">This Covenant may be amended by unanimous consent of the full Council. No amendment shall alter Article I (Purpose), Article II (The Sovereignty Ethic), or Article V, Section 1 (perpetual community trust).</w:t>
      </w:r>
    </w:p>
    <w:p>
      <w:r>
        <w:br w:type="page"/>
      </w:r>
    </w:p>
    <w:p>
      <w:pPr>
        <w:pStyle w:val="Heading1"/>
        <w:spacing w:after="240" w:before="240"/>
      </w:pPr>
      <w:r>
        <w:t xml:space="preserve">Article XIII — Signatures</w:t>
      </w:r>
    </w:p>
    <w:p>
      <w:pPr>
        <w:spacing w:after="120"/>
        <w:jc w:val="center"/>
      </w:pPr>
      <w:r>
        <w:rPr>
          <w:sz w:val="22"/>
          <w:szCs w:val="22"/>
        </w:rPr>
        <w:t xml:space="preserve">The First Council of Twelve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1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2 of 12</w:t>
            </w:r>
          </w:p>
          <w:p>
            <w:pPr>
              <w:spacing w:after="60"/>
            </w:pPr>
            <w:r>
              <w:t xml:space="preserve"/>
            </w:r>
          </w:p>
          <w:p>
            <w:pPr>
              <w:pBdr>
                <w:bottom w:val="single" w:color="000000" w:sz="1" w:space="1"/>
              </w:pBdr>
              <w:spacing w:after="120"/>
            </w:pPr>
            <w:r>
              <w:t xml:space="preserve">Date</w:t>
            </w:r>
          </w:p>
        </w:tc>
      </w:tr>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3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4 of 12</w:t>
            </w:r>
          </w:p>
          <w:p>
            <w:pPr>
              <w:spacing w:after="60"/>
            </w:pPr>
            <w:r>
              <w:t xml:space="preserve"/>
            </w:r>
          </w:p>
          <w:p>
            <w:pPr>
              <w:pBdr>
                <w:bottom w:val="single" w:color="000000" w:sz="1" w:space="1"/>
              </w:pBdr>
              <w:spacing w:after="120"/>
            </w:pPr>
            <w:r>
              <w:t xml:space="preserve">Date</w:t>
            </w:r>
          </w:p>
        </w:tc>
      </w:tr>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5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6 of 12</w:t>
            </w:r>
          </w:p>
          <w:p>
            <w:pPr>
              <w:spacing w:after="60"/>
            </w:pPr>
            <w:r>
              <w:t xml:space="preserve"/>
            </w:r>
          </w:p>
          <w:p>
            <w:pPr>
              <w:pBdr>
                <w:bottom w:val="single" w:color="000000" w:sz="1" w:space="1"/>
              </w:pBdr>
              <w:spacing w:after="120"/>
            </w:pPr>
            <w:r>
              <w:t xml:space="preserve">Date</w:t>
            </w:r>
          </w:p>
        </w:tc>
      </w:tr>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7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8 of 12</w:t>
            </w:r>
          </w:p>
          <w:p>
            <w:pPr>
              <w:spacing w:after="60"/>
            </w:pPr>
            <w:r>
              <w:t xml:space="preserve"/>
            </w:r>
          </w:p>
          <w:p>
            <w:pPr>
              <w:pBdr>
                <w:bottom w:val="single" w:color="000000" w:sz="1" w:space="1"/>
              </w:pBdr>
              <w:spacing w:after="120"/>
            </w:pPr>
            <w:r>
              <w:t xml:space="preserve">Date</w:t>
            </w:r>
          </w:p>
        </w:tc>
      </w:tr>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9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10 of 12</w:t>
            </w:r>
          </w:p>
          <w:p>
            <w:pPr>
              <w:spacing w:after="60"/>
            </w:pPr>
            <w:r>
              <w:t xml:space="preserve"/>
            </w:r>
          </w:p>
          <w:p>
            <w:pPr>
              <w:pBdr>
                <w:bottom w:val="single" w:color="000000" w:sz="1" w:space="1"/>
              </w:pBdr>
              <w:spacing w:after="120"/>
            </w:pPr>
            <w:r>
              <w:t xml:space="preserve">Date</w:t>
            </w:r>
          </w:p>
        </w:tc>
      </w:tr>
      <w:tr>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11 of 12</w:t>
            </w:r>
          </w:p>
          <w:p>
            <w:pPr>
              <w:spacing w:after="60"/>
            </w:pPr>
            <w:r>
              <w:t xml:space="preserve"/>
            </w:r>
          </w:p>
          <w:p>
            <w:pPr>
              <w:pBdr>
                <w:bottom w:val="single" w:color="000000" w:sz="1" w:space="1"/>
              </w:pBdr>
              <w:spacing w:after="120"/>
            </w:pPr>
            <w:r>
              <w:t xml:space="preserve">Date</w:t>
            </w:r>
          </w:p>
        </w:tc>
        <w:tc>
          <w:tcPr>
            <w:tcW w:type="dxa" w:w="4680"/>
            <w:tcBorders>
              <w:top w:val="none" w:color="FFFFFF" w:sz="0"/>
              <w:left w:val="none" w:color="FFFFFF" w:sz="0"/>
              <w:bottom w:val="none" w:color="FFFFFF" w:sz="0"/>
              <w:right w:val="none" w:color="FFFFFF" w:sz="0"/>
            </w:tcBorders>
            <w:tcMar>
              <w:top w:type="dxa" w:w="200"/>
              <w:left w:type="dxa" w:w="100"/>
              <w:bottom w:type="dxa" w:w="200"/>
              <w:right w:type="dxa" w:w="100"/>
            </w:tcMar>
            <w:vAlign w:val="top"/>
          </w:tcPr>
          <w:p>
            <w:pPr>
              <w:spacing w:after="360"/>
            </w:pPr>
            <w:r>
              <w:t xml:space="preserve"/>
            </w:r>
          </w:p>
          <w:p>
            <w:pPr>
              <w:pBdr>
                <w:bottom w:val="single" w:color="000000" w:sz="1" w:space="1"/>
              </w:pBdr>
              <w:spacing w:after="60"/>
            </w:pPr>
            <w:r>
              <w:t xml:space="preserve">Signature</w:t>
            </w:r>
          </w:p>
          <w:p>
            <w:pPr>
              <w:spacing w:after="60"/>
            </w:pPr>
            <w:r>
              <w:t xml:space="preserve"/>
            </w:r>
          </w:p>
          <w:p>
            <w:pPr>
              <w:pBdr>
                <w:bottom w:val="single" w:color="000000" w:sz="1" w:space="1"/>
              </w:pBdr>
              <w:spacing w:after="60"/>
            </w:pPr>
            <w:r>
              <w:t xml:space="preserve">Printed Name(s)</w:t>
            </w:r>
          </w:p>
          <w:p>
            <w:pPr>
              <w:spacing w:after="60"/>
            </w:pPr>
            <w:r>
              <w:t xml:space="preserve"/>
            </w:r>
          </w:p>
          <w:p>
            <w:pPr>
              <w:pBdr>
                <w:bottom w:val="single" w:color="000000" w:sz="1" w:space="1"/>
              </w:pBdr>
              <w:spacing w:after="60"/>
            </w:pPr>
            <w:r>
              <w:t xml:space="preserve">Household 12 of 12</w:t>
            </w:r>
          </w:p>
          <w:p>
            <w:pPr>
              <w:spacing w:after="60"/>
            </w:pPr>
            <w:r>
              <w:t xml:space="preserve"/>
            </w:r>
          </w:p>
          <w:p>
            <w:pPr>
              <w:pBdr>
                <w:bottom w:val="single" w:color="000000" w:sz="1" w:space="1"/>
              </w:pBdr>
              <w:spacing w:after="120"/>
            </w:pPr>
            <w:r>
              <w:t xml:space="preserve">Date</w:t>
            </w:r>
          </w:p>
        </w:tc>
      </w:tr>
    </w:tbl>
    <w:p>
      <w:pPr>
        <w:spacing w:after="120" w:before="360"/>
        <w:jc w:val="center"/>
      </w:pPr>
      <w:r>
        <w:rPr>
          <w:b/>
          <w:bCs/>
          <w:color w:val="2D5016"/>
          <w:sz w:val="24"/>
          <w:szCs w:val="24"/>
        </w:rPr>
        <w:t xml:space="preserve">Witnessed and Notarized</w:t>
      </w:r>
    </w:p>
    <w:p>
      <w:pPr>
        <w:spacing w:after="60" w:before="120"/>
      </w:pPr>
      <w:r>
        <w:t xml:space="preserve"/>
      </w:r>
    </w:p>
    <w:p>
      <w:pPr>
        <w:spacing w:after="60"/>
      </w:pPr>
      <w:r>
        <w:t xml:space="preserve">Witness Signature: ___________________________________________</w:t>
      </w:r>
    </w:p>
    <w:p>
      <w:pPr>
        <w:spacing w:after="240"/>
      </w:pPr>
      <w:r>
        <w:t xml:space="preserve">Printed Name &amp; Title: ________________________________________</w:t>
      </w:r>
    </w:p>
    <w:p>
      <w:pPr>
        <w:spacing w:after="120" w:before="120"/>
        <w:ind w:left="360" w:right="360"/>
      </w:pPr>
      <w:r>
        <w:rPr>
          <w:b/>
          <w:bCs/>
        </w:rPr>
        <w:t xml:space="preserve">STATE OF [________________]</w:t>
      </w:r>
    </w:p>
    <w:p>
      <w:pPr>
        <w:spacing w:after="120"/>
        <w:ind w:left="360" w:right="360"/>
      </w:pPr>
      <w:r>
        <w:rPr>
          <w:b/>
          <w:bCs/>
        </w:rPr>
        <w:t xml:space="preserve">COUNTY OF ___________________</w:t>
      </w:r>
    </w:p>
    <w:p>
      <w:pPr>
        <w:spacing w:after="240"/>
        <w:ind w:left="360" w:right="360"/>
      </w:pPr>
      <w:r>
        <w:t xml:space="preserve">Before me, the undersigned authority, personally appeared the signatories to the Founding Covenant of Sovereign Misfit Farm, known to me to be the true and correct signers of the above instrument, and being duly sworn, each deposes and says that they signed the above instrument as their free and voluntary act for the purposes therein expressed.</w:t>
      </w:r>
    </w:p>
    <w:p>
      <w:pPr>
        <w:spacing w:after="120"/>
      </w:pPr>
      <w:r>
        <w:t xml:space="preserve"/>
      </w:r>
    </w:p>
    <w:p>
      <w:pPr>
        <w:spacing w:after="60"/>
      </w:pPr>
      <w:r>
        <w:t xml:space="preserve">Notary Public Signature: ____________________________________</w:t>
      </w:r>
    </w:p>
    <w:p>
      <w:pPr>
        <w:spacing w:after="60"/>
      </w:pPr>
      <w:r>
        <w:t xml:space="preserve">Printed Name: _____________________________________________</w:t>
      </w:r>
    </w:p>
    <w:p>
      <w:pPr>
        <w:spacing w:after="120"/>
      </w:pPr>
      <w:r>
        <w:t xml:space="preserve">Commission Expires: ________________________________________</w:t>
      </w:r>
    </w:p>
    <w:p>
      <w:pPr>
        <w:spacing w:after="120" w:before="240"/>
        <w:jc w:val="center"/>
      </w:pPr>
      <w:r>
        <w:t xml:space="preserve">Signed and sealed this _____ day of ________________, 202_.</w:t>
      </w:r>
    </w:p>
    <w:p>
      <w:pPr>
        <w:spacing w:after="120"/>
        <w:jc w:val="center"/>
      </w:pPr>
      <w:r>
        <w:t xml:space="preserve">At [Location], [State]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rFonts w:ascii="Georgia" w:hAnsi="Georgia" w:eastAsia="Georgia" w:cs="Georgia"/>
      <w:color w:val="2D5016"/>
      <w:sz w:val="56"/>
      <w:szCs w:val="56"/>
    </w:rPr>
  </w:style>
  <w:style w:type="paragraph" w:styleId="Heading1">
    <w:name w:val="Heading 1"/>
    <w:basedOn w:val="Normal"/>
    <w:next w:val="Normal"/>
    <w:qFormat/>
    <w:rPr>
      <w:rFonts w:ascii="Georgia" w:hAnsi="Georgia" w:eastAsia="Georgia" w:cs="Georgia"/>
      <w:color w:val="2D5016"/>
      <w:sz w:val="32"/>
      <w:szCs w:val="32"/>
    </w:rPr>
  </w:style>
  <w:style w:type="paragraph" w:styleId="Heading2">
    <w:name w:val="Heading 2"/>
    <w:basedOn w:val="Normal"/>
    <w:next w:val="Normal"/>
    <w:qFormat/>
    <w:rPr>
      <w:rFonts w:ascii="Georgia" w:hAnsi="Georgia" w:eastAsia="Georgia" w:cs="Georgia"/>
      <w:color w:val="6B3A2A"/>
      <w:sz w:val="26"/>
      <w:szCs w:val="26"/>
    </w:rPr>
  </w:style>
  <w:style w:type="paragraph" w:styleId="Heading3">
    <w:name w:val="Heading 3"/>
    <w:basedOn w:val="Normal"/>
    <w:next w:val="Normal"/>
    <w:qFormat/>
    <w:rPr>
      <w:rFonts w:ascii="Georgia" w:hAnsi="Georgia" w:eastAsia="Georgia" w:cs="Georgia"/>
      <w:color w:val="4A7A3A"/>
      <w:sz w:val="24"/>
      <w:szCs w:val="24"/>
    </w:rPr>
  </w:style>
  <w:style w:type="paragraph" w:styleId="Heading4">
    <w:name w:val="Heading 4"/>
    <w:basedOn w:val="Normal"/>
    <w:next w:val="Normal"/>
    <w:qFormat/>
    <w:rPr>
      <w:rFonts w:ascii="Georgia" w:hAnsi="Georgia" w:eastAsia="Georgia" w:cs="Georgia"/>
      <w:i/>
      <w:iCs/>
      <w:color w:val="8B7D3C"/>
    </w:rPr>
  </w:style>
  <w:style w:type="paragraph" w:styleId="Heading5">
    <w:name w:val="Heading 5"/>
    <w:basedOn w:val="Normal"/>
    <w:next w:val="Normal"/>
    <w:qFormat/>
    <w:rPr>
      <w:rFonts w:ascii="Georgia" w:hAnsi="Georgia" w:eastAsia="Georgia" w:cs="Georgia"/>
      <w:color w:val="7A9B6D"/>
    </w:rPr>
  </w:style>
  <w:style w:type="paragraph" w:styleId="Heading6">
    <w:name w:val="Heading 6"/>
    <w:basedOn w:val="Normal"/>
    <w:next w:val="Normal"/>
    <w:qFormat/>
    <w:rPr>
      <w:rFonts w:ascii="Georgia" w:hAnsi="Georgia" w:eastAsia="Georgia" w:cs="Georgia"/>
      <w:color w:val="7A9B6D"/>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4A7A3A"/>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Georgia" w:cs="Georgia" w:eastAsia="Georgia" w:hAnsi="Georgia"/>
      <w:b/>
      <w:bCs/>
      <w:color w:val="2D5016"/>
      <w:sz w:val="28"/>
      <w:szCs w:val="28"/>
    </w:rPr>
  </w:style>
  <w:style w:type="paragraph" w:styleId="Heading2">
    <w:name w:val="Heading 2"/>
    <w:basedOn w:val="Normal"/>
    <w:next w:val="Normal"/>
    <w:qFormat/>
    <w:pPr>
      <w:spacing w:after="100" w:before="180"/>
      <w:outlineLvl w:val="1"/>
    </w:pPr>
    <w:rPr>
      <w:rFonts w:ascii="Georgia" w:cs="Georgia" w:eastAsia="Georgia" w:hAnsi="Georgia"/>
      <w:b/>
      <w:bCs/>
      <w:color w:val="6B3A2A"/>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2026-03-15T00:00:05.364Z</dcterms:created>
  <dcterms:modified xsi:type="dcterms:W3CDTF">2026-03-15T00:00:05.365Z</dcterms:modified>
</cp:coreProperties>
</file>

<file path=docProps/custom.xml><?xml version="1.0" encoding="utf-8"?>
<Properties xmlns="http://schemas.openxmlformats.org/officeDocument/2006/custom-properties" xmlns:vt="http://schemas.openxmlformats.org/officeDocument/2006/docPropsVTypes"/>
</file>